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F" w:rsidRDefault="00D82BAF">
      <w:pPr>
        <w:jc w:val="center"/>
        <w:rPr>
          <w:rFonts w:ascii="Times New Roman" w:hAnsi="Times New Roman" w:cs="Times New Roman"/>
          <w:b/>
          <w:sz w:val="24"/>
          <w:szCs w:val="24"/>
        </w:rPr>
      </w:pPr>
    </w:p>
    <w:p w:rsidR="00D82BAF" w:rsidRDefault="00F91E67">
      <w:pPr>
        <w:jc w:val="center"/>
        <w:rPr>
          <w:rFonts w:ascii="Times New Roman" w:hAnsi="Times New Roman" w:cs="Times New Roman"/>
          <w:b/>
          <w:sz w:val="24"/>
          <w:szCs w:val="24"/>
        </w:rPr>
      </w:pPr>
      <w:r>
        <w:rPr>
          <w:rFonts w:ascii="Times New Roman" w:hAnsi="Times New Roman" w:cs="Times New Roman"/>
          <w:b/>
          <w:sz w:val="24"/>
          <w:szCs w:val="24"/>
        </w:rPr>
        <w:t>Oświadczenie / aktualizacja  o osobach zamieszkałych w lokalu</w:t>
      </w:r>
    </w:p>
    <w:p w:rsidR="00D82BAF" w:rsidRDefault="00F91E67">
      <w:pPr>
        <w:rPr>
          <w:rFonts w:ascii="Times New Roman" w:hAnsi="Times New Roman" w:cs="Times New Roman"/>
          <w:sz w:val="20"/>
          <w:szCs w:val="20"/>
        </w:rPr>
      </w:pPr>
      <w:r>
        <w:rPr>
          <w:rFonts w:ascii="Times New Roman" w:hAnsi="Times New Roman" w:cs="Times New Roman"/>
          <w:sz w:val="20"/>
          <w:szCs w:val="20"/>
        </w:rPr>
        <w:t>Ja niżej podpisany/a</w:t>
      </w:r>
    </w:p>
    <w:p w:rsidR="00D82BAF" w:rsidRDefault="00F91E67">
      <w:pPr>
        <w:pStyle w:val="Akapitzlist"/>
        <w:numPr>
          <w:ilvl w:val="0"/>
          <w:numId w:val="2"/>
        </w:numPr>
        <w:rPr>
          <w:rFonts w:ascii="Times New Roman" w:hAnsi="Times New Roman" w:cs="Times New Roman"/>
          <w:sz w:val="20"/>
          <w:szCs w:val="20"/>
        </w:rPr>
      </w:pPr>
      <w:r>
        <w:rPr>
          <w:rFonts w:ascii="Times New Roman" w:hAnsi="Times New Roman" w:cs="Times New Roman"/>
          <w:sz w:val="20"/>
          <w:szCs w:val="20"/>
        </w:rPr>
        <w:t>…………………………………………………….. PESEL ……………………… Tel. ………………………</w:t>
      </w:r>
    </w:p>
    <w:p w:rsidR="00D82BAF" w:rsidRDefault="00F91E67">
      <w:pPr>
        <w:pStyle w:val="Akapitzlist"/>
        <w:numPr>
          <w:ilvl w:val="0"/>
          <w:numId w:val="2"/>
        </w:numPr>
        <w:rPr>
          <w:rFonts w:ascii="Times New Roman" w:hAnsi="Times New Roman" w:cs="Times New Roman"/>
          <w:sz w:val="20"/>
          <w:szCs w:val="20"/>
        </w:rPr>
      </w:pPr>
      <w:r>
        <w:rPr>
          <w:rFonts w:ascii="Times New Roman" w:hAnsi="Times New Roman" w:cs="Times New Roman"/>
          <w:sz w:val="20"/>
          <w:szCs w:val="20"/>
        </w:rPr>
        <w:t>……………………………………………    …….. PESEL ……………………… Tel. ………………………</w:t>
      </w:r>
    </w:p>
    <w:p w:rsidR="00D82BAF" w:rsidRDefault="00F91E67">
      <w:pPr>
        <w:rPr>
          <w:rFonts w:ascii="Times New Roman" w:hAnsi="Times New Roman" w:cs="Times New Roman"/>
          <w:sz w:val="20"/>
          <w:szCs w:val="20"/>
        </w:rPr>
      </w:pPr>
      <w:r>
        <w:rPr>
          <w:noProof/>
          <w:lang w:eastAsia="pl-PL"/>
        </w:rPr>
        <mc:AlternateContent>
          <mc:Choice Requires="wps">
            <w:drawing>
              <wp:anchor distT="0" distB="0" distL="0" distR="0" simplePos="0" relativeHeight="3" behindDoc="0" locked="0" layoutInCell="1" allowOverlap="1" wp14:anchorId="25C3B161">
                <wp:simplePos x="0" y="0"/>
                <wp:positionH relativeFrom="column">
                  <wp:posOffset>114300</wp:posOffset>
                </wp:positionH>
                <wp:positionV relativeFrom="paragraph">
                  <wp:posOffset>291465</wp:posOffset>
                </wp:positionV>
                <wp:extent cx="629285" cy="143510"/>
                <wp:effectExtent l="0" t="0" r="19050" b="28575"/>
                <wp:wrapNone/>
                <wp:docPr id="1" name="Prostokąt 5"/>
                <wp:cNvGraphicFramePr/>
                <a:graphic xmlns:a="http://schemas.openxmlformats.org/drawingml/2006/main">
                  <a:graphicData uri="http://schemas.microsoft.com/office/word/2010/wordprocessingShape">
                    <wps:wsp>
                      <wps:cNvSpPr/>
                      <wps:spPr>
                        <a:xfrm>
                          <a:off x="0" y="0"/>
                          <a:ext cx="628560" cy="142920"/>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37DFB93" id="Prostokąt 5" o:spid="_x0000_s1026" style="position:absolute;margin-left:9pt;margin-top:22.95pt;width:49.55pt;height:11.3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" strokecolor="#f79646" strokeweight=".71mm">
                <v:stroke joinstyle="round"/>
              </v:rect>
            </w:pict>
          </mc:Fallback>
        </mc:AlternateContent>
      </w:r>
      <w:r>
        <w:rPr>
          <w:rFonts w:ascii="Times New Roman" w:hAnsi="Times New Roman" w:cs="Times New Roman"/>
          <w:sz w:val="20"/>
          <w:szCs w:val="20"/>
        </w:rPr>
        <w:t>Oświadczam/y, że jestem/śmy ( właściwe zakreślić)</w:t>
      </w:r>
    </w:p>
    <w:p w:rsidR="00D82BAF" w:rsidRDefault="00F91E67">
      <w:pPr>
        <w:pStyle w:val="Akapitzlist"/>
        <w:ind w:left="1428"/>
        <w:rPr>
          <w:rFonts w:ascii="Times New Roman" w:hAnsi="Times New Roman" w:cs="Times New Roman"/>
          <w:sz w:val="20"/>
          <w:szCs w:val="20"/>
        </w:rPr>
      </w:pPr>
      <w:r>
        <w:rPr>
          <w:rFonts w:ascii="Times New Roman" w:hAnsi="Times New Roman" w:cs="Times New Roman"/>
          <w:sz w:val="20"/>
          <w:szCs w:val="20"/>
        </w:rPr>
        <w:t xml:space="preserve">najemcą/ami  </w:t>
      </w:r>
    </w:p>
    <w:p w:rsidR="00D82BAF" w:rsidRDefault="00F91E67">
      <w:pPr>
        <w:pStyle w:val="Akapitzlist"/>
        <w:ind w:left="1428"/>
        <w:rPr>
          <w:rFonts w:ascii="Times New Roman" w:hAnsi="Times New Roman" w:cs="Times New Roman"/>
          <w:sz w:val="20"/>
          <w:szCs w:val="20"/>
        </w:rPr>
      </w:pPr>
      <w:r>
        <w:rPr>
          <w:noProof/>
          <w:lang w:eastAsia="pl-PL"/>
        </w:rPr>
        <mc:AlternateContent>
          <mc:Choice Requires="wps">
            <w:drawing>
              <wp:anchor distT="0" distB="0" distL="0" distR="0" simplePos="0" relativeHeight="4" behindDoc="0" locked="0" layoutInCell="1" allowOverlap="1" wp14:anchorId="53C2E37B">
                <wp:simplePos x="0" y="0"/>
                <wp:positionH relativeFrom="column">
                  <wp:posOffset>114300</wp:posOffset>
                </wp:positionH>
                <wp:positionV relativeFrom="paragraph">
                  <wp:posOffset>161925</wp:posOffset>
                </wp:positionV>
                <wp:extent cx="629285" cy="143510"/>
                <wp:effectExtent l="0" t="0" r="19050" b="28575"/>
                <wp:wrapNone/>
                <wp:docPr id="2" name="Prostokąt 6"/>
                <wp:cNvGraphicFramePr/>
                <a:graphic xmlns:a="http://schemas.openxmlformats.org/drawingml/2006/main">
                  <a:graphicData uri="http://schemas.microsoft.com/office/word/2010/wordprocessingShape">
                    <wps:wsp>
                      <wps:cNvSpPr/>
                      <wps:spPr>
                        <a:xfrm>
                          <a:off x="0" y="0"/>
                          <a:ext cx="628560" cy="142920"/>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6996023" id="Prostokąt 6" o:spid="_x0000_s1026" style="position:absolute;margin-left:9pt;margin-top:12.75pt;width:49.55pt;height:11.3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" strokecolor="#f79646" strokeweight=".71mm">
                <v:stroke joinstyle="round"/>
              </v:rect>
            </w:pict>
          </mc:Fallback>
        </mc:AlternateContent>
      </w:r>
      <w:r>
        <w:rPr>
          <w:rFonts w:ascii="Times New Roman" w:hAnsi="Times New Roman" w:cs="Times New Roman"/>
          <w:sz w:val="20"/>
          <w:szCs w:val="20"/>
        </w:rPr>
        <w:t xml:space="preserve">      </w:t>
      </w:r>
    </w:p>
    <w:p w:rsidR="00D82BAF" w:rsidRDefault="00F91E67">
      <w:pPr>
        <w:pStyle w:val="Akapitzlist"/>
        <w:ind w:left="1428"/>
        <w:rPr>
          <w:rFonts w:ascii="Times New Roman" w:hAnsi="Times New Roman" w:cs="Times New Roman"/>
          <w:sz w:val="20"/>
          <w:szCs w:val="20"/>
        </w:rPr>
      </w:pPr>
      <w:r>
        <w:rPr>
          <w:rFonts w:ascii="Times New Roman" w:hAnsi="Times New Roman" w:cs="Times New Roman"/>
          <w:sz w:val="20"/>
          <w:szCs w:val="20"/>
        </w:rPr>
        <w:t>osobą/ami zajmującą/ymi lokal bez tytułu prawnego</w:t>
      </w:r>
    </w:p>
    <w:p w:rsidR="00D82BAF" w:rsidRDefault="00F91E67">
      <w:pPr>
        <w:rPr>
          <w:rFonts w:ascii="Times New Roman" w:hAnsi="Times New Roman" w:cs="Times New Roman"/>
          <w:sz w:val="20"/>
          <w:szCs w:val="20"/>
        </w:rPr>
      </w:pPr>
      <w:r>
        <w:rPr>
          <w:rFonts w:ascii="Times New Roman" w:hAnsi="Times New Roman" w:cs="Times New Roman"/>
          <w:sz w:val="20"/>
          <w:szCs w:val="20"/>
        </w:rPr>
        <w:t xml:space="preserve">lokal/u mieszkalnego/y  położonego w Chodzieży  przy ul.  ul. ……………………………………………… nr …………………..        </w:t>
      </w:r>
    </w:p>
    <w:p w:rsidR="00D82BAF" w:rsidRDefault="00F91E67">
      <w:pPr>
        <w:jc w:val="both"/>
        <w:rPr>
          <w:rFonts w:ascii="Times New Roman" w:hAnsi="Times New Roman" w:cs="Times New Roman"/>
          <w:sz w:val="20"/>
          <w:szCs w:val="20"/>
        </w:rPr>
      </w:pPr>
      <w:r>
        <w:rPr>
          <w:noProof/>
          <w:lang w:eastAsia="pl-PL"/>
        </w:rPr>
        <mc:AlternateContent>
          <mc:Choice Requires="wps">
            <w:drawing>
              <wp:anchor distT="0" distB="0" distL="0" distR="0" simplePos="0" relativeHeight="5" behindDoc="0" locked="0" layoutInCell="1" allowOverlap="1" wp14:anchorId="63315AD4">
                <wp:simplePos x="0" y="0"/>
                <wp:positionH relativeFrom="column">
                  <wp:posOffset>5381625</wp:posOffset>
                </wp:positionH>
                <wp:positionV relativeFrom="paragraph">
                  <wp:posOffset>32385</wp:posOffset>
                </wp:positionV>
                <wp:extent cx="629285" cy="143510"/>
                <wp:effectExtent l="0" t="0" r="19050" b="28575"/>
                <wp:wrapNone/>
                <wp:docPr id="3" name="Prostokąt 1"/>
                <wp:cNvGraphicFramePr/>
                <a:graphic xmlns:a="http://schemas.openxmlformats.org/drawingml/2006/main">
                  <a:graphicData uri="http://schemas.microsoft.com/office/word/2010/wordprocessingShape">
                    <wps:wsp>
                      <wps:cNvSpPr/>
                      <wps:spPr>
                        <a:xfrm>
                          <a:off x="0" y="0"/>
                          <a:ext cx="628560" cy="142920"/>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1F8AF63" id="Prostokąt 1" o:spid="_x0000_s1026" style="position:absolute;margin-left:423.75pt;margin-top:2.55pt;width:49.55pt;height:11.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" strokecolor="#f79646" strokeweight=".71mm">
                <v:stroke joinstyle="round"/>
              </v:rect>
            </w:pict>
          </mc:Fallback>
        </mc:AlternateContent>
      </w:r>
      <w:r>
        <w:rPr>
          <w:rFonts w:ascii="Times New Roman" w:hAnsi="Times New Roman" w:cs="Times New Roman"/>
          <w:sz w:val="20"/>
          <w:szCs w:val="20"/>
        </w:rPr>
        <w:t xml:space="preserve">Jednocześnie oświadczam/y, że od dnia …………………… w powyższym lokalu </w:t>
      </w:r>
      <w:r>
        <w:rPr>
          <w:rFonts w:ascii="Times New Roman" w:hAnsi="Times New Roman" w:cs="Times New Roman"/>
          <w:b/>
          <w:sz w:val="20"/>
          <w:szCs w:val="20"/>
        </w:rPr>
        <w:t xml:space="preserve">zamieszkuje </w:t>
      </w:r>
      <w:r>
        <w:rPr>
          <w:rFonts w:ascii="Times New Roman" w:hAnsi="Times New Roman" w:cs="Times New Roman"/>
          <w:sz w:val="20"/>
          <w:szCs w:val="20"/>
        </w:rPr>
        <w:t>łącznie                           osób tj:</w:t>
      </w:r>
    </w:p>
    <w:tbl>
      <w:tblPr>
        <w:tblStyle w:val="Tabela-Siatka"/>
        <w:tblW w:w="10598" w:type="dxa"/>
        <w:tblLook w:val="04A0" w:firstRow="1" w:lastRow="0" w:firstColumn="1" w:lastColumn="0" w:noHBand="0" w:noVBand="1"/>
      </w:tblPr>
      <w:tblGrid>
        <w:gridCol w:w="817"/>
        <w:gridCol w:w="3402"/>
        <w:gridCol w:w="2691"/>
        <w:gridCol w:w="3688"/>
      </w:tblGrid>
      <w:tr w:rsidR="00D82BAF">
        <w:tc>
          <w:tcPr>
            <w:tcW w:w="816" w:type="dxa"/>
            <w:shd w:val="clear" w:color="auto" w:fill="auto"/>
            <w:vAlign w:val="center"/>
          </w:tcPr>
          <w:p w:rsidR="00D82BAF" w:rsidRDefault="00F91E67">
            <w:pPr>
              <w:spacing w:after="0" w:line="240" w:lineRule="auto"/>
              <w:jc w:val="center"/>
              <w:rPr>
                <w:rFonts w:ascii="Times New Roman" w:hAnsi="Times New Roman" w:cs="Times New Roman"/>
              </w:rPr>
            </w:pPr>
            <w:r>
              <w:rPr>
                <w:rFonts w:ascii="Times New Roman" w:hAnsi="Times New Roman" w:cs="Times New Roman"/>
              </w:rPr>
              <w:t>LP</w:t>
            </w:r>
          </w:p>
        </w:tc>
        <w:tc>
          <w:tcPr>
            <w:tcW w:w="3402" w:type="dxa"/>
            <w:shd w:val="clear" w:color="auto" w:fill="auto"/>
            <w:vAlign w:val="center"/>
          </w:tcPr>
          <w:p w:rsidR="00D82BAF" w:rsidRDefault="00F91E67">
            <w:pPr>
              <w:spacing w:after="0" w:line="240" w:lineRule="auto"/>
              <w:jc w:val="center"/>
              <w:rPr>
                <w:rFonts w:ascii="Times New Roman" w:hAnsi="Times New Roman" w:cs="Times New Roman"/>
              </w:rPr>
            </w:pPr>
            <w:r>
              <w:rPr>
                <w:rFonts w:ascii="Times New Roman" w:hAnsi="Times New Roman" w:cs="Times New Roman"/>
              </w:rPr>
              <w:t>Nazwisko i imię</w:t>
            </w:r>
          </w:p>
        </w:tc>
        <w:tc>
          <w:tcPr>
            <w:tcW w:w="2691" w:type="dxa"/>
            <w:shd w:val="clear" w:color="auto" w:fill="auto"/>
            <w:vAlign w:val="center"/>
          </w:tcPr>
          <w:p w:rsidR="00D82BAF" w:rsidRDefault="00F91E67">
            <w:pPr>
              <w:spacing w:after="0" w:line="240" w:lineRule="auto"/>
              <w:jc w:val="center"/>
              <w:rPr>
                <w:rFonts w:ascii="Times New Roman" w:hAnsi="Times New Roman" w:cs="Times New Roman"/>
              </w:rPr>
            </w:pPr>
            <w:r>
              <w:rPr>
                <w:rFonts w:ascii="Times New Roman" w:hAnsi="Times New Roman" w:cs="Times New Roman"/>
              </w:rPr>
              <w:t>PESEL</w:t>
            </w:r>
          </w:p>
        </w:tc>
        <w:tc>
          <w:tcPr>
            <w:tcW w:w="3688" w:type="dxa"/>
            <w:shd w:val="clear" w:color="auto" w:fill="auto"/>
            <w:vAlign w:val="center"/>
          </w:tcPr>
          <w:p w:rsidR="00D82BAF" w:rsidRDefault="00F91E67">
            <w:pPr>
              <w:spacing w:after="0" w:line="240" w:lineRule="auto"/>
              <w:jc w:val="center"/>
              <w:rPr>
                <w:rFonts w:ascii="Times New Roman" w:hAnsi="Times New Roman" w:cs="Times New Roman"/>
              </w:rPr>
            </w:pPr>
            <w:r>
              <w:rPr>
                <w:rFonts w:ascii="Times New Roman" w:hAnsi="Times New Roman" w:cs="Times New Roman"/>
              </w:rPr>
              <w:t>Stopień pokrewieństwa do poz. 1</w:t>
            </w: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F91E67">
            <w:pPr>
              <w:spacing w:after="0" w:line="240" w:lineRule="auto"/>
              <w:rPr>
                <w:rFonts w:ascii="Times New Roman" w:hAnsi="Times New Roman" w:cs="Times New Roman"/>
                <w:sz w:val="20"/>
                <w:szCs w:val="20"/>
              </w:rPr>
            </w:pPr>
            <w:r>
              <w:rPr>
                <w:rFonts w:ascii="Times New Roman" w:hAnsi="Times New Roman" w:cs="Times New Roman"/>
                <w:sz w:val="20"/>
                <w:szCs w:val="20"/>
              </w:rPr>
              <w:t>najemca/ osoba zajmująca lokal bez tytułu prawnego</w:t>
            </w: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r w:rsidR="00D82BAF">
        <w:tc>
          <w:tcPr>
            <w:tcW w:w="816" w:type="dxa"/>
            <w:shd w:val="clear" w:color="auto" w:fill="auto"/>
          </w:tcPr>
          <w:p w:rsidR="00D82BAF" w:rsidRDefault="00D82BAF">
            <w:pPr>
              <w:pStyle w:val="Akapitzlist"/>
              <w:numPr>
                <w:ilvl w:val="0"/>
                <w:numId w:val="1"/>
              </w:numPr>
              <w:spacing w:after="0" w:line="240" w:lineRule="auto"/>
              <w:jc w:val="both"/>
              <w:rPr>
                <w:rFonts w:ascii="Times New Roman" w:hAnsi="Times New Roman" w:cs="Times New Roman"/>
                <w:sz w:val="20"/>
                <w:szCs w:val="20"/>
              </w:rPr>
            </w:pPr>
          </w:p>
        </w:tc>
        <w:tc>
          <w:tcPr>
            <w:tcW w:w="3402" w:type="dxa"/>
            <w:shd w:val="clear" w:color="auto" w:fill="auto"/>
          </w:tcPr>
          <w:p w:rsidR="00D82BAF" w:rsidRDefault="00D82BAF">
            <w:pPr>
              <w:spacing w:after="0" w:line="240" w:lineRule="auto"/>
              <w:jc w:val="both"/>
              <w:rPr>
                <w:rFonts w:ascii="Times New Roman" w:hAnsi="Times New Roman" w:cs="Times New Roman"/>
              </w:rPr>
            </w:pPr>
          </w:p>
          <w:p w:rsidR="00D82BAF" w:rsidRDefault="00D82BAF">
            <w:pPr>
              <w:spacing w:after="0" w:line="240" w:lineRule="auto"/>
              <w:jc w:val="both"/>
              <w:rPr>
                <w:rFonts w:ascii="Times New Roman" w:hAnsi="Times New Roman" w:cs="Times New Roman"/>
              </w:rPr>
            </w:pPr>
          </w:p>
        </w:tc>
        <w:tc>
          <w:tcPr>
            <w:tcW w:w="2691" w:type="dxa"/>
            <w:shd w:val="clear" w:color="auto" w:fill="auto"/>
          </w:tcPr>
          <w:p w:rsidR="00D82BAF" w:rsidRDefault="00D82BAF">
            <w:pPr>
              <w:spacing w:after="0" w:line="240" w:lineRule="auto"/>
              <w:jc w:val="both"/>
              <w:rPr>
                <w:rFonts w:ascii="Times New Roman" w:hAnsi="Times New Roman" w:cs="Times New Roman"/>
              </w:rPr>
            </w:pPr>
          </w:p>
        </w:tc>
        <w:tc>
          <w:tcPr>
            <w:tcW w:w="3688" w:type="dxa"/>
            <w:shd w:val="clear" w:color="auto" w:fill="auto"/>
          </w:tcPr>
          <w:p w:rsidR="00D82BAF" w:rsidRDefault="00D82BAF">
            <w:pPr>
              <w:spacing w:after="0" w:line="240" w:lineRule="auto"/>
              <w:jc w:val="both"/>
              <w:rPr>
                <w:rFonts w:ascii="Times New Roman" w:hAnsi="Times New Roman" w:cs="Times New Roman"/>
              </w:rPr>
            </w:pPr>
          </w:p>
        </w:tc>
      </w:tr>
    </w:tbl>
    <w:p w:rsidR="00D82BAF" w:rsidRDefault="00F91E67">
      <w:pPr>
        <w:jc w:val="both"/>
        <w:rPr>
          <w:rFonts w:ascii="Times New Roman" w:hAnsi="Times New Roman" w:cs="Times New Roman"/>
          <w:sz w:val="20"/>
          <w:szCs w:val="20"/>
        </w:rPr>
      </w:pPr>
      <w:r>
        <w:rPr>
          <w:rFonts w:ascii="Times New Roman" w:hAnsi="Times New Roman" w:cs="Times New Roman"/>
          <w:noProof/>
          <w:sz w:val="20"/>
          <w:szCs w:val="20"/>
          <w:lang w:eastAsia="pl-PL"/>
        </w:rPr>
        <mc:AlternateContent>
          <mc:Choice Requires="wps">
            <w:drawing>
              <wp:anchor distT="0" distB="0" distL="0" distR="0" simplePos="0" relativeHeight="2" behindDoc="0" locked="0" layoutInCell="1" allowOverlap="1" wp14:anchorId="5A0F1B69">
                <wp:simplePos x="0" y="0"/>
                <wp:positionH relativeFrom="column">
                  <wp:posOffset>5753100</wp:posOffset>
                </wp:positionH>
                <wp:positionV relativeFrom="paragraph">
                  <wp:posOffset>256540</wp:posOffset>
                </wp:positionV>
                <wp:extent cx="638810" cy="191135"/>
                <wp:effectExtent l="0" t="0" r="28575" b="19050"/>
                <wp:wrapNone/>
                <wp:docPr id="4" name="Prostokąt 2"/>
                <wp:cNvGraphicFramePr/>
                <a:graphic xmlns:a="http://schemas.openxmlformats.org/drawingml/2006/main">
                  <a:graphicData uri="http://schemas.microsoft.com/office/word/2010/wordprocessingShape">
                    <wps:wsp>
                      <wps:cNvSpPr/>
                      <wps:spPr>
                        <a:xfrm>
                          <a:off x="0" y="0"/>
                          <a:ext cx="638280" cy="190440"/>
                        </a:xfrm>
                        <a:prstGeom prst="rect">
                          <a:avLst/>
                        </a:prstGeom>
                        <a:ln>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7703638E" id="Prostokąt 2" o:spid="_x0000_s1026" style="position:absolute;margin-left:453pt;margin-top:20.2pt;width:50.3pt;height:15.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" fillcolor="white [3201]" strokecolor="#f79646 [3209]" strokeweight="2pt">
                <v:stroke joinstyle="round"/>
              </v:rect>
            </w:pict>
          </mc:Fallback>
        </mc:AlternateContent>
      </w:r>
    </w:p>
    <w:p w:rsidR="00D82BAF" w:rsidRDefault="00F91E67">
      <w:pPr>
        <w:jc w:val="both"/>
        <w:rPr>
          <w:rFonts w:ascii="Times New Roman" w:hAnsi="Times New Roman" w:cs="Times New Roman"/>
          <w:sz w:val="20"/>
          <w:szCs w:val="20"/>
        </w:rPr>
      </w:pPr>
      <w:r>
        <w:rPr>
          <w:rFonts w:ascii="Times New Roman" w:hAnsi="Times New Roman" w:cs="Times New Roman"/>
          <w:sz w:val="20"/>
          <w:szCs w:val="20"/>
        </w:rPr>
        <w:t xml:space="preserve">Oświadczam/my, iż ilość osób zameldowanych w lokalu  </w:t>
      </w:r>
      <w:r>
        <w:rPr>
          <w:rFonts w:ascii="Times New Roman" w:hAnsi="Times New Roman" w:cs="Times New Roman"/>
          <w:b/>
          <w:sz w:val="20"/>
          <w:szCs w:val="20"/>
        </w:rPr>
        <w:t>podana w Urzędzie Miejskim w Chodzieży</w:t>
      </w:r>
      <w:r>
        <w:rPr>
          <w:rFonts w:ascii="Times New Roman" w:hAnsi="Times New Roman" w:cs="Times New Roman"/>
          <w:sz w:val="20"/>
          <w:szCs w:val="20"/>
        </w:rPr>
        <w:t xml:space="preserve"> wynosi:</w:t>
      </w:r>
    </w:p>
    <w:p w:rsidR="00D82BAF" w:rsidRDefault="00F91E67">
      <w:pPr>
        <w:rPr>
          <w:rFonts w:ascii="Times New Roman" w:hAnsi="Times New Roman" w:cs="Times New Roman"/>
          <w:sz w:val="20"/>
          <w:szCs w:val="20"/>
        </w:rPr>
      </w:pPr>
      <w:r>
        <w:rPr>
          <w:rFonts w:ascii="Times New Roman" w:hAnsi="Times New Roman" w:cs="Times New Roman"/>
          <w:sz w:val="20"/>
          <w:szCs w:val="20"/>
        </w:rPr>
        <w:t>Oświadczam/my że  rozbieżności  pomiędzy:</w:t>
      </w:r>
    </w:p>
    <w:p w:rsidR="00D82BAF" w:rsidRDefault="00F91E67">
      <w:pPr>
        <w:pStyle w:val="Akapitzlist"/>
        <w:numPr>
          <w:ilvl w:val="0"/>
          <w:numId w:val="6"/>
        </w:numPr>
        <w:rPr>
          <w:rFonts w:ascii="Times New Roman" w:hAnsi="Times New Roman" w:cs="Times New Roman"/>
          <w:sz w:val="20"/>
          <w:szCs w:val="20"/>
        </w:rPr>
      </w:pPr>
      <w:r>
        <w:rPr>
          <w:rFonts w:ascii="Times New Roman" w:hAnsi="Times New Roman" w:cs="Times New Roman"/>
          <w:sz w:val="20"/>
          <w:szCs w:val="20"/>
        </w:rPr>
        <w:t xml:space="preserve">ilością osób zameldowanych  a ilością osób zamieszkujących w  w/wym. lokalu </w:t>
      </w:r>
    </w:p>
    <w:p w:rsidR="00D82BAF" w:rsidRDefault="00F91E67">
      <w:pPr>
        <w:pStyle w:val="Akapitzlist"/>
        <w:ind w:left="765"/>
        <w:rPr>
          <w:rFonts w:ascii="Times New Roman" w:hAnsi="Times New Roman" w:cs="Times New Roman"/>
          <w:sz w:val="20"/>
          <w:szCs w:val="20"/>
        </w:rPr>
      </w:pPr>
      <w:r>
        <w:rPr>
          <w:rFonts w:ascii="Times New Roman" w:hAnsi="Times New Roman" w:cs="Times New Roman"/>
          <w:sz w:val="20"/>
          <w:szCs w:val="20"/>
        </w:rPr>
        <w:t>lub</w:t>
      </w:r>
    </w:p>
    <w:p w:rsidR="00D82BAF" w:rsidRDefault="00F91E67">
      <w:pPr>
        <w:pStyle w:val="Akapitzlist"/>
        <w:numPr>
          <w:ilvl w:val="0"/>
          <w:numId w:val="6"/>
        </w:numPr>
        <w:rPr>
          <w:rFonts w:ascii="Times New Roman" w:hAnsi="Times New Roman" w:cs="Times New Roman"/>
          <w:sz w:val="20"/>
          <w:szCs w:val="20"/>
        </w:rPr>
      </w:pPr>
      <w:r>
        <w:rPr>
          <w:rFonts w:ascii="Times New Roman" w:hAnsi="Times New Roman" w:cs="Times New Roman"/>
          <w:sz w:val="20"/>
          <w:szCs w:val="20"/>
        </w:rPr>
        <w:t>ilością osób zamieszkujących w lokalu podaną w  poprzednio złożonym oświadczeniu</w:t>
      </w:r>
    </w:p>
    <w:p w:rsidR="00D82BAF" w:rsidRDefault="00F91E67">
      <w:pPr>
        <w:rPr>
          <w:rFonts w:ascii="Times New Roman" w:hAnsi="Times New Roman" w:cs="Times New Roman"/>
          <w:sz w:val="20"/>
          <w:szCs w:val="20"/>
        </w:rPr>
      </w:pPr>
      <w:r>
        <w:rPr>
          <w:rFonts w:ascii="Times New Roman" w:hAnsi="Times New Roman" w:cs="Times New Roman"/>
          <w:sz w:val="20"/>
          <w:szCs w:val="20"/>
        </w:rPr>
        <w:t>wynikają z następujących powodów :</w:t>
      </w:r>
    </w:p>
    <w:p w:rsidR="00D82BAF" w:rsidRDefault="00F91E67">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w:t>
      </w:r>
    </w:p>
    <w:p w:rsidR="00D82BAF" w:rsidRDefault="00F91E67">
      <w:pPr>
        <w:jc w:val="both"/>
        <w:rPr>
          <w:rFonts w:ascii="Times New Roman" w:hAnsi="Times New Roman" w:cs="Times New Roman"/>
          <w:sz w:val="20"/>
          <w:szCs w:val="20"/>
        </w:rPr>
      </w:pPr>
      <w:r>
        <w:rPr>
          <w:rFonts w:ascii="Times New Roman" w:hAnsi="Times New Roman" w:cs="Times New Roman"/>
          <w:sz w:val="20"/>
          <w:szCs w:val="20"/>
        </w:rPr>
        <w:t xml:space="preserve">Oświadczam/y, że w przypadku zmiany ilości osób zamieszkałych w lokalu będących podstawą do ustalenia wysokości opłat m.in. za gospodarowanie odpadami komunalnymi dostarczę/ymy przedmiotowe oświadczenie do Mieszkaniowego Zasobu Gminy Miejskiej Chodzież przy ul. Młyńskiej 3 w Chodzieży w terminie </w:t>
      </w:r>
      <w:r>
        <w:rPr>
          <w:rFonts w:ascii="Times New Roman" w:hAnsi="Times New Roman" w:cs="Times New Roman"/>
          <w:b/>
          <w:sz w:val="20"/>
          <w:szCs w:val="20"/>
        </w:rPr>
        <w:t>7 dni</w:t>
      </w:r>
      <w:r>
        <w:rPr>
          <w:rFonts w:ascii="Times New Roman" w:hAnsi="Times New Roman" w:cs="Times New Roman"/>
          <w:sz w:val="20"/>
          <w:szCs w:val="20"/>
        </w:rPr>
        <w:t xml:space="preserve"> od dnia zmiany. </w:t>
      </w:r>
    </w:p>
    <w:p w:rsidR="00D82BAF" w:rsidRDefault="00F91E67">
      <w:pPr>
        <w:pStyle w:val="Default"/>
        <w:jc w:val="both"/>
        <w:rPr>
          <w:color w:val="auto"/>
          <w:sz w:val="20"/>
          <w:szCs w:val="20"/>
        </w:rPr>
      </w:pPr>
      <w:r>
        <w:rPr>
          <w:color w:val="auto"/>
          <w:sz w:val="20"/>
          <w:szCs w:val="20"/>
        </w:rPr>
        <w:t xml:space="preserve">Oświadczam/y,  iż zostałem/am//liśmy  poinformowany/i  o obowiązku  dokonywania  selektywnej zbiórki odpadów oraz  iż Rada Miejska w Chodzieży ustaliła wyższą stawkę opłaty, gdy nie jest wypełniany obowiązek zbierania odpadów komunalnych w sposób selektywny, która wynosi </w:t>
      </w:r>
      <w:r>
        <w:rPr>
          <w:b/>
          <w:color w:val="auto"/>
          <w:sz w:val="20"/>
          <w:szCs w:val="20"/>
        </w:rPr>
        <w:t>dwukrotność</w:t>
      </w:r>
      <w:r>
        <w:rPr>
          <w:color w:val="auto"/>
          <w:sz w:val="20"/>
          <w:szCs w:val="20"/>
        </w:rPr>
        <w:t xml:space="preserve"> stawki za  selektywną zbiórkę odpadów.</w:t>
      </w:r>
    </w:p>
    <w:p w:rsidR="00D82BAF" w:rsidRDefault="00D82BAF">
      <w:pPr>
        <w:pStyle w:val="Default"/>
        <w:rPr>
          <w:color w:val="FF0000"/>
          <w:sz w:val="20"/>
          <w:szCs w:val="20"/>
        </w:rPr>
      </w:pPr>
    </w:p>
    <w:p w:rsidR="00D82BAF" w:rsidRDefault="00F91E67">
      <w:pPr>
        <w:spacing w:line="240" w:lineRule="atLeast"/>
        <w:jc w:val="both"/>
        <w:textAlignment w:val="top"/>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Powyższe oświadczenie składam/y  zgodnie ze stanem faktycznym, będąc pouczonym/oną o treści  art. 233 § 1 Kodeksu karnego którego treść brzmi „kto składając zeznanie mające służyć za dowód  w postępowaniu sądowym lub innym postępowaniu  prowadzonym na podstawie ustawy zeznaje nieprawdę  lub zataja prawdę podlega karze pozbawienia wolności do lat 8” oraz o treści art. 233 § 6 Kk, którego treść brzmi „przepis §1 stosuje się odpowiednio  do osoby która składa fałszywe oświadczenie jeżeli przepis ustawy przewiduje możliwość odebrania oświadczenia pod rygorem odpowiedzialności karnej za podanie nieprawdy lub zatajenie prawdy grozi kara pozbawienia wolności”.</w:t>
      </w:r>
    </w:p>
    <w:p w:rsidR="00D82BAF" w:rsidRDefault="00D82BAF">
      <w:pPr>
        <w:pBdr>
          <w:bottom w:val="double" w:sz="6" w:space="1" w:color="000000"/>
        </w:pBdr>
        <w:jc w:val="both"/>
        <w:rPr>
          <w:rFonts w:ascii="Times New Roman" w:hAnsi="Times New Roman" w:cs="Times New Roman"/>
          <w:sz w:val="20"/>
          <w:szCs w:val="20"/>
        </w:rPr>
      </w:pPr>
    </w:p>
    <w:p w:rsidR="00D82BAF" w:rsidRDefault="00F91E67">
      <w:pPr>
        <w:jc w:val="both"/>
        <w:rPr>
          <w:rFonts w:ascii="Times New Roman" w:hAnsi="Times New Roman" w:cs="Times New Roman"/>
          <w:sz w:val="20"/>
          <w:szCs w:val="20"/>
        </w:rPr>
      </w:pPr>
      <w:r>
        <w:rPr>
          <w:rFonts w:ascii="Times New Roman" w:hAnsi="Times New Roman" w:cs="Times New Roman"/>
          <w:i/>
          <w:sz w:val="20"/>
          <w:szCs w:val="20"/>
        </w:rPr>
        <w:t>Chodzież, dnia ……………………….</w:t>
      </w:r>
      <w:r>
        <w:rPr>
          <w:rFonts w:ascii="Times New Roman" w:hAnsi="Times New Roman" w:cs="Times New Roman"/>
          <w:sz w:val="20"/>
          <w:szCs w:val="20"/>
        </w:rPr>
        <w:t xml:space="preserve"> </w:t>
      </w:r>
    </w:p>
    <w:p w:rsidR="00D82BAF" w:rsidRDefault="00F91E67" w:rsidP="008C63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D82BAF" w:rsidRDefault="00F91E67" w:rsidP="008C63AA">
      <w:pPr>
        <w:spacing w:after="0" w:line="240" w:lineRule="auto"/>
        <w:ind w:left="4248" w:firstLine="708"/>
        <w:jc w:val="both"/>
        <w:rPr>
          <w:rFonts w:ascii="Times New Roman" w:hAnsi="Times New Roman" w:cs="Times New Roman"/>
          <w:sz w:val="20"/>
          <w:szCs w:val="20"/>
        </w:rPr>
      </w:pPr>
      <w:r>
        <w:rPr>
          <w:rFonts w:ascii="Times New Roman" w:hAnsi="Times New Roman" w:cs="Times New Roman"/>
          <w:sz w:val="20"/>
          <w:szCs w:val="20"/>
        </w:rPr>
        <w:t xml:space="preserve">  czytelne podpisy osoby/ób składającej/ych oświadczenie</w:t>
      </w:r>
    </w:p>
    <w:p w:rsidR="00D82BAF" w:rsidRDefault="00F91E67">
      <w:pPr>
        <w:jc w:val="both"/>
        <w:rPr>
          <w:rFonts w:ascii="Times New Roman" w:hAnsi="Times New Roman" w:cs="Times New Roman"/>
          <w:sz w:val="20"/>
          <w:szCs w:val="20"/>
        </w:rPr>
      </w:pPr>
      <w:r>
        <w:rPr>
          <w:rFonts w:ascii="Times New Roman" w:hAnsi="Times New Roman" w:cs="Times New Roman"/>
          <w:sz w:val="20"/>
          <w:szCs w:val="20"/>
        </w:rPr>
        <w:t>Pouczenie:</w:t>
      </w:r>
    </w:p>
    <w:p w:rsidR="00D82BAF" w:rsidRDefault="00F91E67">
      <w:pPr>
        <w:jc w:val="both"/>
      </w:pPr>
      <w:r>
        <w:rPr>
          <w:rFonts w:ascii="Times New Roman" w:hAnsi="Times New Roman" w:cs="Times New Roman"/>
          <w:sz w:val="20"/>
          <w:szCs w:val="20"/>
        </w:rPr>
        <w:t xml:space="preserve">Obowiązek zawiadamiania Wynajmującego o zmianie adresu swojego zamieszkania oraz o zmianie liczby osób zamieszkujących w lokalu, mających wpływ na wysokość opłat wynika z </w:t>
      </w:r>
      <w:r>
        <w:rPr>
          <w:rFonts w:ascii="Times New Roman" w:hAnsi="Times New Roman" w:cs="Times New Roman"/>
          <w:i/>
          <w:sz w:val="20"/>
          <w:szCs w:val="20"/>
        </w:rPr>
        <w:t xml:space="preserve">Ustawy z dnia 21 czerwca 2001 r. o ochronie praw lokatorów, mieszkaniowym zasobie gminy i o zmianie Kodeksu Cywilnego (tj. Dz.U. 2019 r. poz.1182 z późn. zm.) oraz umowy najmu. </w:t>
      </w:r>
      <w:r>
        <w:rPr>
          <w:rFonts w:ascii="Times New Roman" w:eastAsia="Times New Roman" w:hAnsi="Times New Roman" w:cs="Times New Roman"/>
          <w:sz w:val="20"/>
          <w:szCs w:val="20"/>
          <w:lang w:eastAsia="ar-SA"/>
        </w:rPr>
        <w:t xml:space="preserve">Podstawą obciążenia za wywóz nieczystości jest liczba osób zamieszkujących daną nieruchomość ( art. 6k ust. 3 </w:t>
      </w:r>
      <w:r>
        <w:rPr>
          <w:rFonts w:ascii="Times New Roman" w:eastAsia="Times New Roman" w:hAnsi="Times New Roman" w:cs="Times New Roman"/>
          <w:i/>
          <w:sz w:val="20"/>
          <w:szCs w:val="20"/>
          <w:lang w:eastAsia="ar-SA"/>
        </w:rPr>
        <w:t xml:space="preserve">ustawy z dnia 13 września 1996 r. o utrzymaniu czystości i porządku w gminach - Dz. U. 2019  r. poz. 2010, z późn.zm.) </w:t>
      </w:r>
      <w:r>
        <w:rPr>
          <w:rFonts w:ascii="Times New Roman" w:hAnsi="Times New Roman" w:cs="Times New Roman"/>
          <w:sz w:val="20"/>
          <w:szCs w:val="20"/>
        </w:rPr>
        <w:t>oraz Uchwała nr XVI/125/2019 z dnia 16 grudnia 2019 r. w sprawie wyboru metody ustalania opłaty za gospodarowanie odpadami komunalnymi i ustalania stawki opłaty na jednego mieszkańca.</w:t>
      </w:r>
      <w:r>
        <w:rPr>
          <w:rFonts w:ascii="Times New Roman" w:eastAsia="Times New Roman" w:hAnsi="Times New Roman" w:cs="Times New Roman"/>
          <w:sz w:val="20"/>
          <w:szCs w:val="20"/>
          <w:lang w:eastAsia="ar-SA"/>
        </w:rPr>
        <w:t xml:space="preserve"> W związku z powyższym najemcy/użytkownicy lokali obowiązani są informować zarządcę/właściciela nieruchomości o liczbie osób zamieszkujących w lokalu, a także o każdorazowej zmianie liczby osób, w celu złożenia w Urzędzie Miejskim w Chodzieży stosownych korekt deklaracji. </w:t>
      </w:r>
      <w:r>
        <w:rPr>
          <w:rFonts w:ascii="Times New Roman" w:hAnsi="Times New Roman" w:cs="Times New Roman"/>
          <w:sz w:val="20"/>
          <w:szCs w:val="20"/>
        </w:rPr>
        <w:t>Zmiana deklaracji obowiązuje od pierwszego dnia miesiąca następującego po złożeniu oświadczenia.</w:t>
      </w:r>
    </w:p>
    <w:p w:rsidR="00D82BAF" w:rsidRDefault="00F91E67">
      <w:pPr>
        <w:jc w:val="both"/>
        <w:rPr>
          <w:rFonts w:ascii="Times New Roman" w:eastAsia="Times New Roman" w:hAnsi="Times New Roman" w:cs="Times New Roman"/>
          <w:sz w:val="20"/>
          <w:szCs w:val="20"/>
          <w:lang w:eastAsia="ar-SA"/>
        </w:rPr>
      </w:pPr>
      <w:r>
        <w:rPr>
          <w:rFonts w:ascii="Times New Roman" w:hAnsi="Times New Roman" w:cs="Times New Roman"/>
          <w:sz w:val="20"/>
          <w:szCs w:val="20"/>
        </w:rPr>
        <w:t>W przypadku stwierdzenia niezgodności ilości osób zamieszkujących w lokalu, wskazanych  w oświadczeniu, ze stanem faktycznym. MZGM ma prawo naliczyć opłatę eksploatacyjną w prawidłowej wysokości na podstawie art.118 Kodeksu cywilnego za okres do trzech lat wstecz.</w:t>
      </w:r>
    </w:p>
    <w:p w:rsidR="00D82BAF" w:rsidRDefault="00D82BAF">
      <w:pPr>
        <w:jc w:val="both"/>
        <w:rPr>
          <w:sz w:val="20"/>
          <w:szCs w:val="20"/>
        </w:rPr>
      </w:pPr>
    </w:p>
    <w:p w:rsidR="00D82BAF" w:rsidRDefault="00D82BAF">
      <w:pPr>
        <w:jc w:val="both"/>
      </w:pPr>
    </w:p>
    <w:p w:rsidR="00D82BAF" w:rsidRDefault="00F91E67" w:rsidP="00B557DF">
      <w:pPr>
        <w:spacing w:after="0" w:line="240" w:lineRule="auto"/>
        <w:jc w:val="both"/>
      </w:pPr>
      <w:r>
        <w:t xml:space="preserve">………………………………………………………………………… </w:t>
      </w:r>
    </w:p>
    <w:p w:rsidR="00D82BAF" w:rsidRPr="00B557DF" w:rsidRDefault="00F91E67" w:rsidP="00B557DF">
      <w:pPr>
        <w:spacing w:after="0" w:line="240" w:lineRule="auto"/>
        <w:jc w:val="both"/>
        <w:rPr>
          <w:rFonts w:ascii="Times New Roman" w:hAnsi="Times New Roman" w:cs="Times New Roman"/>
          <w:color w:val="000000" w:themeColor="text1"/>
          <w:sz w:val="18"/>
          <w:szCs w:val="18"/>
        </w:rPr>
      </w:pPr>
      <w:r>
        <w:rPr>
          <w:sz w:val="18"/>
          <w:szCs w:val="18"/>
        </w:rPr>
        <w:t>(data i podpis osoby weryfikującej dane)</w:t>
      </w:r>
    </w:p>
    <w:p w:rsidR="00D82BAF" w:rsidRPr="00B557DF" w:rsidRDefault="00F91E67">
      <w:pPr>
        <w:shd w:val="clear" w:color="auto" w:fill="FFFFFF"/>
        <w:spacing w:after="150" w:line="240" w:lineRule="auto"/>
        <w:jc w:val="center"/>
        <w:rPr>
          <w:rFonts w:ascii="Times New Roman" w:eastAsia="Times New Roman" w:hAnsi="Times New Roman" w:cs="Times New Roman"/>
          <w:b/>
          <w:bCs/>
          <w:color w:val="000000" w:themeColor="text1"/>
          <w:sz w:val="14"/>
          <w:szCs w:val="14"/>
          <w:lang w:eastAsia="pl-PL"/>
        </w:rPr>
      </w:pPr>
      <w:r w:rsidRPr="00B557DF">
        <w:rPr>
          <w:rFonts w:ascii="Times New Roman" w:eastAsia="Times New Roman" w:hAnsi="Times New Roman" w:cs="Times New Roman"/>
          <w:b/>
          <w:bCs/>
          <w:color w:val="000000" w:themeColor="text1"/>
          <w:sz w:val="18"/>
          <w:szCs w:val="18"/>
          <w:lang w:eastAsia="pl-PL"/>
        </w:rPr>
        <w:br/>
      </w:r>
    </w:p>
    <w:p w:rsidR="00D82BAF" w:rsidRPr="00B557DF" w:rsidRDefault="00F91E67">
      <w:pPr>
        <w:shd w:val="clear" w:color="auto" w:fill="FFFFFF"/>
        <w:spacing w:after="150" w:line="240" w:lineRule="auto"/>
        <w:jc w:val="center"/>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KLAUZULA INFORMACYJNA</w:t>
      </w:r>
      <w:r w:rsidRPr="00B557DF">
        <w:rPr>
          <w:rFonts w:ascii="Times New Roman" w:eastAsia="Times New Roman" w:hAnsi="Times New Roman" w:cs="Times New Roman"/>
          <w:color w:val="000000" w:themeColor="text1"/>
          <w:sz w:val="14"/>
          <w:szCs w:val="14"/>
          <w:lang w:eastAsia="pl-PL"/>
        </w:rPr>
        <w:t xml:space="preserve"> </w:t>
      </w:r>
      <w:r w:rsidRPr="00B557DF">
        <w:rPr>
          <w:rFonts w:ascii="Times New Roman" w:eastAsia="Times New Roman" w:hAnsi="Times New Roman" w:cs="Times New Roman"/>
          <w:b/>
          <w:bCs/>
          <w:color w:val="000000" w:themeColor="text1"/>
          <w:sz w:val="14"/>
          <w:szCs w:val="14"/>
          <w:lang w:eastAsia="pl-PL"/>
        </w:rPr>
        <w:t>DOTYCZĄCA PRZETWARZANIA DANYCH OSOBOWYCH NA PODSTAWIE OBOWIĄZKU PRAWNEGO CIĄŻĄCEGO NA ADMINISTRATORZE</w:t>
      </w:r>
    </w:p>
    <w:p w:rsidR="00D82BAF" w:rsidRPr="00B557DF" w:rsidRDefault="00F91E67">
      <w:pPr>
        <w:shd w:val="clear" w:color="auto" w:fill="FFFFFF"/>
        <w:spacing w:after="150" w:line="240" w:lineRule="exact"/>
        <w:contextualSpacing/>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 </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Zgodnie z art. 13 ust. 1 i 2 oraz art. 14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Państwa, że:</w:t>
      </w:r>
    </w:p>
    <w:p w:rsidR="00D82BAF" w:rsidRPr="00B557DF" w:rsidRDefault="00D82BAF">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TOŻSAMOŚĆ ADMINISTRATORA</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Administratorem Państwa danych osobowych jest Mieszkaniowy Zasób Gminy Miejskiej Chodzież mający siedzibę w Chodzieży (64-800), ul. Młyńska 3.</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DANE KONTAKTOWE ADMINISTRATORA</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Z administratorem danych można się skonta</w:t>
      </w:r>
      <w:r w:rsidR="00E52127">
        <w:rPr>
          <w:rFonts w:ascii="Times New Roman" w:eastAsia="Times New Roman" w:hAnsi="Times New Roman" w:cs="Times New Roman"/>
          <w:color w:val="000000" w:themeColor="text1"/>
          <w:sz w:val="14"/>
          <w:szCs w:val="14"/>
          <w:lang w:eastAsia="pl-PL"/>
        </w:rPr>
        <w:t xml:space="preserve">ktować poprzez adres </w:t>
      </w:r>
      <w:r w:rsidR="00E52127" w:rsidRPr="00E52127">
        <w:rPr>
          <w:rFonts w:ascii="Times New Roman" w:eastAsia="Times New Roman" w:hAnsi="Times New Roman" w:cs="Times New Roman"/>
          <w:color w:val="000000" w:themeColor="text1"/>
          <w:sz w:val="14"/>
          <w:szCs w:val="14"/>
          <w:lang w:eastAsia="pl-PL"/>
        </w:rPr>
        <w:t>email: sekretariat</w:t>
      </w:r>
      <w:r w:rsidRPr="00E52127">
        <w:rPr>
          <w:rFonts w:ascii="Times New Roman" w:eastAsia="Times New Roman" w:hAnsi="Times New Roman" w:cs="Times New Roman"/>
          <w:iCs/>
          <w:color w:val="000000" w:themeColor="text1"/>
          <w:sz w:val="14"/>
          <w:szCs w:val="14"/>
          <w:lang w:eastAsia="pl-PL"/>
        </w:rPr>
        <w:t>@</w:t>
      </w:r>
      <w:r w:rsidR="00E52127" w:rsidRPr="00E52127">
        <w:rPr>
          <w:rFonts w:ascii="Times New Roman" w:eastAsia="Times New Roman" w:hAnsi="Times New Roman" w:cs="Times New Roman"/>
          <w:iCs/>
          <w:color w:val="000000" w:themeColor="text1"/>
          <w:sz w:val="14"/>
          <w:szCs w:val="14"/>
          <w:lang w:eastAsia="pl-PL"/>
        </w:rPr>
        <w:t>mzgm.</w:t>
      </w:r>
      <w:r w:rsidRPr="00E52127">
        <w:rPr>
          <w:rFonts w:ascii="Times New Roman" w:eastAsia="Times New Roman" w:hAnsi="Times New Roman" w:cs="Times New Roman"/>
          <w:color w:val="000000" w:themeColor="text1"/>
          <w:sz w:val="14"/>
          <w:szCs w:val="14"/>
          <w:lang w:eastAsia="pl-PL"/>
        </w:rPr>
        <w:t>chodziez.pl</w:t>
      </w:r>
      <w:r w:rsidRPr="00B557DF">
        <w:rPr>
          <w:rFonts w:ascii="Times New Roman" w:eastAsia="Times New Roman" w:hAnsi="Times New Roman" w:cs="Times New Roman"/>
          <w:color w:val="000000" w:themeColor="text1"/>
          <w:sz w:val="14"/>
          <w:szCs w:val="14"/>
          <w:lang w:eastAsia="pl-PL"/>
        </w:rPr>
        <w:t xml:space="preserve"> lub pisemnie na adres siedziby administratora.</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DANE KONTAKTOWE INSPEKTORA OCHRONY DANYCH OSOBOWYCH</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Z inspektorem ochrony danych można się skontaktować poprzez email: io</w:t>
      </w:r>
      <w:bookmarkStart w:id="0" w:name="_GoBack"/>
      <w:bookmarkEnd w:id="0"/>
      <w:r w:rsidRPr="00B557DF">
        <w:rPr>
          <w:rFonts w:ascii="Times New Roman" w:eastAsia="Times New Roman" w:hAnsi="Times New Roman" w:cs="Times New Roman"/>
          <w:color w:val="000000" w:themeColor="text1"/>
          <w:sz w:val="14"/>
          <w:szCs w:val="14"/>
          <w:lang w:eastAsia="pl-PL"/>
        </w:rPr>
        <w:t>d@mzgm</w:t>
      </w:r>
      <w:r w:rsidRPr="00B557DF">
        <w:rPr>
          <w:rFonts w:ascii="Times New Roman" w:eastAsia="Times New Roman" w:hAnsi="Times New Roman" w:cs="Times New Roman"/>
          <w:i/>
          <w:iCs/>
          <w:color w:val="000000" w:themeColor="text1"/>
          <w:sz w:val="14"/>
          <w:szCs w:val="14"/>
          <w:lang w:eastAsia="pl-PL"/>
        </w:rPr>
        <w:t>.</w:t>
      </w:r>
      <w:r w:rsidRPr="00B557DF">
        <w:rPr>
          <w:rFonts w:ascii="Times New Roman" w:eastAsia="Times New Roman" w:hAnsi="Times New Roman" w:cs="Times New Roman"/>
          <w:color w:val="000000" w:themeColor="text1"/>
          <w:sz w:val="14"/>
          <w:szCs w:val="14"/>
          <w:lang w:eastAsia="pl-PL"/>
        </w:rPr>
        <w:t>chodziez.pl</w:t>
      </w:r>
      <w:r w:rsidRPr="00B557DF">
        <w:rPr>
          <w:rFonts w:ascii="Times New Roman" w:eastAsia="Times New Roman" w:hAnsi="Times New Roman" w:cs="Times New Roman"/>
          <w:i/>
          <w:iCs/>
          <w:color w:val="000000" w:themeColor="text1"/>
          <w:sz w:val="14"/>
          <w:szCs w:val="14"/>
          <w:lang w:eastAsia="pl-PL"/>
        </w:rPr>
        <w:t>.</w:t>
      </w:r>
      <w:r w:rsidRPr="00B557DF">
        <w:rPr>
          <w:rFonts w:ascii="Times New Roman" w:eastAsia="Times New Roman" w:hAnsi="Times New Roman" w:cs="Times New Roman"/>
          <w:color w:val="000000" w:themeColor="text1"/>
          <w:sz w:val="14"/>
          <w:szCs w:val="14"/>
          <w:lang w:eastAsia="pl-PL"/>
        </w:rPr>
        <w:t> Z inspektorem ochrony danych można się kontaktować we wszystkich sprawach dotyczących przetwarzania danych osobowych oraz korzystania z praw związanych z przetwarzaniem danych.</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CELE PRZETWARZANIA I PODSTAWA PRAWNA PRZETWARZANIA</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Dane przetwarzane są w celu realizacji  zadań statutowych w ramach administrowania zasobem mieszkaniowym Gminy Miejskiej w Chodzieży, w tym lokalami wynajmowanymi, przyznawanymi socjalnie oraz na okres remontu (w tym bezumowne korzystanie do czasu zmiany statusu lub rozwiązania).</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Przetwarzamy Państwa dane na podstawie:</w:t>
      </w:r>
    </w:p>
    <w:p w:rsidR="00D82BAF" w:rsidRPr="00B557DF" w:rsidRDefault="00F91E67">
      <w:pPr>
        <w:numPr>
          <w:ilvl w:val="0"/>
          <w:numId w:val="3"/>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realizacja obowiązków wynikających z wykonywania umów, (art. 6 ust. 1 lit. b RODO),</w:t>
      </w:r>
    </w:p>
    <w:p w:rsidR="00D82BAF" w:rsidRPr="00B557DF" w:rsidRDefault="00F91E67">
      <w:pPr>
        <w:numPr>
          <w:ilvl w:val="0"/>
          <w:numId w:val="3"/>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realizacja obowiązków wynikających z przepisów prawa, (art. 6 ust. 1 lit. c RODO),</w:t>
      </w:r>
    </w:p>
    <w:p w:rsidR="00D82BAF" w:rsidRPr="00B557DF" w:rsidRDefault="00F91E67">
      <w:pPr>
        <w:numPr>
          <w:ilvl w:val="0"/>
          <w:numId w:val="3"/>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realizacja zadań w interesie publicznym (art. 6 ust. 1 lit. e RODO),</w:t>
      </w:r>
    </w:p>
    <w:p w:rsidR="00D82BAF" w:rsidRPr="00B557DF" w:rsidRDefault="00F91E67">
      <w:pPr>
        <w:numPr>
          <w:ilvl w:val="0"/>
          <w:numId w:val="3"/>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lastRenderedPageBreak/>
        <w:t>zabezpieczenia informacji na wypadek prawnej potrzeby wykazania faktów, ewentualnego ustalenia, dochodzenia lub obrony przed roszczeniami, co jest naszym prawnie uzasadnionym interesem Administratora (art. 6 ust. 1 lit. f RODO).</w:t>
      </w:r>
    </w:p>
    <w:p w:rsidR="00D82BAF" w:rsidRPr="00B557DF" w:rsidRDefault="00F91E67">
      <w:pPr>
        <w:shd w:val="clear" w:color="auto" w:fill="FFFFFF"/>
        <w:spacing w:after="150" w:line="240" w:lineRule="exact"/>
        <w:contextualSpacing/>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ODBIORCY DANYCH LUB KATEGORIE ODBIORCÓW DANYCH</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Dane osobowe przekazane MZGM Chodzież udostępniane są Urzędowi Miasta w Chodzieży, instytucjom podległym UM w Chodzieży, w ramach podległości wynikającej ze statutu MZGM Chodzie oraz zarządcom/administratorom wspólnot  mieszkaniowych, w których gmina ma udziały.</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Dane osobowe mogą być przekazywane podmiotom uprawnionym do uzyskania danych na podstawie obowiązującego prawa np. sądom lub organom ścigania, jednakże wyłącznie w sytuacji, gdy wystąpią z żądaniem w oparciu o stosowana podstawę prawną, ponadto:</w:t>
      </w:r>
    </w:p>
    <w:p w:rsidR="00D82BAF" w:rsidRPr="00B557DF" w:rsidRDefault="00F91E67">
      <w:pPr>
        <w:numPr>
          <w:ilvl w:val="0"/>
          <w:numId w:val="4"/>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podmiotom współpracującym z MZGM Chodzież na podstawie umów powierzenia, w związku z realizacją umów najmu;</w:t>
      </w:r>
    </w:p>
    <w:p w:rsidR="00D82BAF" w:rsidRPr="00B557DF" w:rsidRDefault="00F91E67">
      <w:pPr>
        <w:numPr>
          <w:ilvl w:val="0"/>
          <w:numId w:val="4"/>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dostawcom systemów IT, z którymi współpracuje Administrator, w celu utrzymania ciągłości oraz poprawności działania systemów;</w:t>
      </w:r>
    </w:p>
    <w:p w:rsidR="00D82BAF" w:rsidRPr="00B557DF" w:rsidRDefault="00F91E67">
      <w:pPr>
        <w:numPr>
          <w:ilvl w:val="0"/>
          <w:numId w:val="4"/>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w przypadku realizacji umowy najmu: wspólnotom mieszkaniowym/zarządcom nieruchomości – dane teleadresowe w zakresie niezbędnym do obsługi nieruchomości;</w:t>
      </w:r>
    </w:p>
    <w:p w:rsidR="00D82BAF" w:rsidRPr="00B557DF" w:rsidRDefault="00F91E67">
      <w:pPr>
        <w:numPr>
          <w:ilvl w:val="0"/>
          <w:numId w:val="4"/>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podmiotom prowadzącym działalność pocztową lub kurierską, w celu dostarczenia korespondencji;</w:t>
      </w:r>
    </w:p>
    <w:p w:rsidR="00D82BAF" w:rsidRPr="00B557DF" w:rsidRDefault="00F91E67">
      <w:pPr>
        <w:numPr>
          <w:ilvl w:val="0"/>
          <w:numId w:val="4"/>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podmiotom prowadzącym działalność płatniczą (banki, instytucje płatnicze) – w celu zapewnienia działania usługi polecenia zapłaty/zleceń stałych;</w:t>
      </w:r>
    </w:p>
    <w:p w:rsidR="00D82BAF" w:rsidRPr="00B557DF" w:rsidRDefault="00F91E67">
      <w:pPr>
        <w:numPr>
          <w:ilvl w:val="0"/>
          <w:numId w:val="4"/>
        </w:numPr>
        <w:shd w:val="clear" w:color="auto" w:fill="FFFFFF"/>
        <w:spacing w:beforeAutospacing="1" w:after="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Radcą prawnym reprezentującym Administratora.</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Dane osobowe nie będą przekazywane do państw trzecich (poza EOG).</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OKRES PRZECHOWYWANIA DANYCH</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Dane osobowe przechowywane będą przez okres niezbędny do pełnej realizacji wskazanego powyżej celu przetwarzania określonego w przepisach prawa, zgodnie z instrukcją kancelaryjną.</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b/>
          <w:bCs/>
          <w:color w:val="000000" w:themeColor="text1"/>
          <w:sz w:val="14"/>
          <w:szCs w:val="14"/>
          <w:lang w:eastAsia="pl-PL"/>
        </w:rPr>
        <w:t>PRAWA PODMIOTÓW DANYCH</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Przysługuje prawo dostępu do swoich danych, prawo żądania ich sprostowania (poprawiania) oraz usunięcia po okresie, o którym mowa powyżej, prawo do ograniczenia przetwarzania danych osobowych oraz sprzeciwu.</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PRAWO WNIESIENIA SKARGI DO ORGANU NADZORCZEGO</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Przysługuje również prawo wniesienia skargi do organu nadzorczego.</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Prezesa Urzędu Ochrony Danych Osobowych (PUODO)</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ul. Stawki 2, 00-193 Warszawa</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Telefon: (22) 860-70-86</w:t>
      </w:r>
    </w:p>
    <w:p w:rsidR="00D82BAF" w:rsidRPr="00B557DF" w:rsidRDefault="00F91E67">
      <w:pPr>
        <w:shd w:val="clear" w:color="auto" w:fill="FFFFFF"/>
        <w:spacing w:after="15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b/>
          <w:bCs/>
          <w:color w:val="000000" w:themeColor="text1"/>
          <w:sz w:val="14"/>
          <w:szCs w:val="14"/>
          <w:lang w:eastAsia="pl-PL"/>
        </w:rPr>
        <w:t>INFORMACJA O DOBROWOLNOŚCI LUB OBOWIĄZKU PODANIA DANYCH</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Podanie przez Panią/Pana danych osobowych jest dobrowolne, niemniej jest ono warunkiem zawarcia i realizacji umowy w tym najmu lokalu, zapewnienia komunikacji, obsługi zgłoszeń i reklamacji.</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Ponadto zbieranie danych osobowych następuje w wyniku:</w:t>
      </w:r>
    </w:p>
    <w:p w:rsidR="00D82BAF" w:rsidRPr="00B557DF" w:rsidRDefault="00F91E67">
      <w:pPr>
        <w:numPr>
          <w:ilvl w:val="0"/>
          <w:numId w:val="5"/>
        </w:numPr>
        <w:shd w:val="clear" w:color="auto" w:fill="FFFFFF"/>
        <w:spacing w:beforeAutospacing="1" w:after="0"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podpisywania Umów między mieszkańcami zasobów gminy oraz Gminą Miejską w Chodzieży, wynikające ze Statutu Mieszkaniowego Zasobu Gminy Miejskiej Chodzież stanowiącego załącznik do </w:t>
      </w:r>
      <w:r w:rsidRPr="00B557DF">
        <w:rPr>
          <w:rFonts w:ascii="Times New Roman" w:eastAsia="Times New Roman" w:hAnsi="Times New Roman" w:cs="Times New Roman"/>
          <w:b/>
          <w:bCs/>
          <w:color w:val="000000" w:themeColor="text1"/>
          <w:sz w:val="14"/>
          <w:szCs w:val="14"/>
          <w:lang w:eastAsia="pl-PL"/>
        </w:rPr>
        <w:t>Uchwały nr XLV/386/2014 Rady Miejskiej w Chodzieży z dnia 27 marca 2014r. w sprawie nadania Statutu Mieszkaniowemu Zasobowi Gminy Miejskiej Chodzież</w:t>
      </w:r>
    </w:p>
    <w:p w:rsidR="00D82BAF" w:rsidRPr="00B557DF" w:rsidRDefault="00F91E67">
      <w:pPr>
        <w:numPr>
          <w:ilvl w:val="0"/>
          <w:numId w:val="5"/>
        </w:numPr>
        <w:shd w:val="clear" w:color="auto" w:fill="FFFFFF"/>
        <w:spacing w:afterAutospacing="1" w:line="240" w:lineRule="exact"/>
        <w:contextualSpacing/>
        <w:jc w:val="both"/>
        <w:rPr>
          <w:rFonts w:ascii="Times New Roman" w:eastAsia="Times New Roman" w:hAnsi="Times New Roman" w:cs="Times New Roman"/>
          <w:color w:val="000000" w:themeColor="text1"/>
          <w:sz w:val="14"/>
          <w:szCs w:val="14"/>
          <w:lang w:eastAsia="pl-PL"/>
        </w:rPr>
      </w:pPr>
      <w:r w:rsidRPr="00B557DF">
        <w:rPr>
          <w:rFonts w:ascii="Times New Roman" w:eastAsia="Times New Roman" w:hAnsi="Times New Roman" w:cs="Times New Roman"/>
          <w:color w:val="000000" w:themeColor="text1"/>
          <w:sz w:val="14"/>
          <w:szCs w:val="14"/>
          <w:lang w:eastAsia="pl-PL"/>
        </w:rPr>
        <w:t>dobrowolnej deklaracji zezwalającej na przetwarzanie danych osobowych.</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b/>
          <w:bCs/>
          <w:color w:val="000000" w:themeColor="text1"/>
          <w:sz w:val="14"/>
          <w:szCs w:val="14"/>
          <w:lang w:eastAsia="pl-PL"/>
        </w:rPr>
        <w:t>ŹRÓDŁO POCHODZENIA DANYCH</w:t>
      </w:r>
      <w:r w:rsidRPr="00B557DF">
        <w:rPr>
          <w:rFonts w:ascii="Times New Roman" w:eastAsia="Times New Roman" w:hAnsi="Times New Roman" w:cs="Times New Roman"/>
          <w:color w:val="000000" w:themeColor="text1"/>
          <w:sz w:val="14"/>
          <w:szCs w:val="14"/>
          <w:lang w:eastAsia="pl-PL"/>
        </w:rPr>
        <w:t xml:space="preserve"> </w:t>
      </w:r>
    </w:p>
    <w:p w:rsidR="00D82BAF" w:rsidRPr="00B557DF" w:rsidRDefault="00F91E67">
      <w:pPr>
        <w:shd w:val="clear" w:color="auto" w:fill="FFFFFF"/>
        <w:spacing w:after="15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Dane osobowe pochodzą od osób których dotyczą, lub w przypadku osób wspólnie zamieszkałych dane pochodzą od najemcy lokalu.</w:t>
      </w:r>
    </w:p>
    <w:p w:rsidR="00D82BAF" w:rsidRPr="00B557DF" w:rsidRDefault="00F91E67">
      <w:pPr>
        <w:spacing w:before="120" w:after="120" w:line="240" w:lineRule="exact"/>
        <w:contextualSpacing/>
        <w:jc w:val="both"/>
        <w:outlineLvl w:val="2"/>
        <w:rPr>
          <w:rFonts w:ascii="Times New Roman" w:eastAsia="Times New Roman" w:hAnsi="Times New Roman" w:cs="Times New Roman"/>
          <w:b/>
          <w:color w:val="000000" w:themeColor="text1"/>
          <w:sz w:val="14"/>
          <w:szCs w:val="14"/>
          <w:lang w:eastAsia="pl-PL"/>
        </w:rPr>
      </w:pPr>
      <w:r w:rsidRPr="00B557DF">
        <w:rPr>
          <w:rFonts w:ascii="Times New Roman" w:eastAsia="Times New Roman" w:hAnsi="Times New Roman" w:cs="Times New Roman"/>
          <w:b/>
          <w:color w:val="000000" w:themeColor="text1"/>
          <w:sz w:val="14"/>
          <w:szCs w:val="14"/>
          <w:lang w:eastAsia="pl-PL"/>
        </w:rPr>
        <w:t>INFORMACJA O ZAUTOMATYZOWANYM PODEJMOWANIU DECYZJI</w:t>
      </w:r>
    </w:p>
    <w:p w:rsidR="00D82BAF" w:rsidRPr="00B557DF" w:rsidRDefault="00F91E67">
      <w:pPr>
        <w:spacing w:before="120" w:after="120" w:line="240" w:lineRule="exact"/>
        <w:contextualSpacing/>
        <w:jc w:val="both"/>
        <w:rPr>
          <w:color w:val="000000" w:themeColor="text1"/>
        </w:rPr>
      </w:pPr>
      <w:r w:rsidRPr="00B557DF">
        <w:rPr>
          <w:rFonts w:ascii="Times New Roman" w:eastAsia="Times New Roman" w:hAnsi="Times New Roman" w:cs="Times New Roman"/>
          <w:color w:val="000000" w:themeColor="text1"/>
          <w:sz w:val="14"/>
          <w:szCs w:val="14"/>
          <w:lang w:eastAsia="pl-PL"/>
        </w:rPr>
        <w:t>Nie stosuje się zautomatyzowanego podejmowania decyzji w tym profilowaniu.</w:t>
      </w:r>
    </w:p>
    <w:p w:rsidR="00D82BAF" w:rsidRPr="00B557DF" w:rsidRDefault="00D82BAF">
      <w:pPr>
        <w:spacing w:after="0" w:line="240" w:lineRule="exact"/>
        <w:contextualSpacing/>
        <w:jc w:val="both"/>
        <w:rPr>
          <w:rFonts w:ascii="Times New Roman" w:hAnsi="Times New Roman" w:cs="Times New Roman"/>
          <w:color w:val="000000" w:themeColor="text1"/>
          <w:sz w:val="14"/>
          <w:szCs w:val="14"/>
        </w:rPr>
      </w:pPr>
    </w:p>
    <w:sectPr w:rsidR="00D82BAF" w:rsidRPr="00B557DF">
      <w:footerReference w:type="default" r:id="rId8"/>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75" w:rsidRDefault="00F91E67">
      <w:pPr>
        <w:spacing w:after="0" w:line="240" w:lineRule="auto"/>
      </w:pPr>
      <w:r>
        <w:separator/>
      </w:r>
    </w:p>
  </w:endnote>
  <w:endnote w:type="continuationSeparator" w:id="0">
    <w:p w:rsidR="00632C75" w:rsidRDefault="00F9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771416"/>
      <w:docPartObj>
        <w:docPartGallery w:val="Page Numbers (Bottom of Page)"/>
        <w:docPartUnique/>
      </w:docPartObj>
    </w:sdtPr>
    <w:sdtEndPr/>
    <w:sdtContent>
      <w:p w:rsidR="00D82BAF" w:rsidRDefault="00F91E67">
        <w:pPr>
          <w:pStyle w:val="Stopka"/>
          <w:jc w:val="right"/>
        </w:pPr>
        <w:r>
          <w:fldChar w:fldCharType="begin"/>
        </w:r>
        <w:r>
          <w:instrText>PAGE</w:instrText>
        </w:r>
        <w:r>
          <w:fldChar w:fldCharType="separate"/>
        </w:r>
        <w:r w:rsidR="00E52127">
          <w:rPr>
            <w:noProof/>
          </w:rPr>
          <w:t>2</w:t>
        </w:r>
        <w:r>
          <w:fldChar w:fldCharType="end"/>
        </w:r>
      </w:p>
    </w:sdtContent>
  </w:sdt>
  <w:p w:rsidR="00D82BAF" w:rsidRDefault="00D82B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75" w:rsidRDefault="00F91E67">
      <w:pPr>
        <w:spacing w:after="0" w:line="240" w:lineRule="auto"/>
      </w:pPr>
      <w:r>
        <w:separator/>
      </w:r>
    </w:p>
  </w:footnote>
  <w:footnote w:type="continuationSeparator" w:id="0">
    <w:p w:rsidR="00632C75" w:rsidRDefault="00F91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5BA3"/>
    <w:multiLevelType w:val="multilevel"/>
    <w:tmpl w:val="87DA2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4A6F54"/>
    <w:multiLevelType w:val="multilevel"/>
    <w:tmpl w:val="98489FAA"/>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15:restartNumberingAfterBreak="0">
    <w:nsid w:val="36FC249A"/>
    <w:multiLevelType w:val="multilevel"/>
    <w:tmpl w:val="B6D6D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315637"/>
    <w:multiLevelType w:val="multilevel"/>
    <w:tmpl w:val="84867A0E"/>
    <w:lvl w:ilvl="0">
      <w:start w:val="1"/>
      <w:numFmt w:val="bullet"/>
      <w:lvlText w:val=""/>
      <w:lvlJc w:val="left"/>
      <w:pPr>
        <w:tabs>
          <w:tab w:val="num" w:pos="720"/>
        </w:tabs>
        <w:ind w:left="720" w:hanging="360"/>
      </w:pPr>
      <w:rPr>
        <w:rFonts w:ascii="Symbol" w:hAnsi="Symbol" w:cs="Symbol" w:hint="default"/>
        <w:sz w:val="1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59420003"/>
    <w:multiLevelType w:val="multilevel"/>
    <w:tmpl w:val="298641A2"/>
    <w:lvl w:ilvl="0">
      <w:start w:val="1"/>
      <w:numFmt w:val="bullet"/>
      <w:lvlText w:val=""/>
      <w:lvlJc w:val="left"/>
      <w:pPr>
        <w:tabs>
          <w:tab w:val="num" w:pos="720"/>
        </w:tabs>
        <w:ind w:left="720" w:hanging="360"/>
      </w:pPr>
      <w:rPr>
        <w:rFonts w:ascii="Symbol" w:hAnsi="Symbol" w:cs="Symbol" w:hint="default"/>
        <w:sz w:val="1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622B4D41"/>
    <w:multiLevelType w:val="multilevel"/>
    <w:tmpl w:val="1DD4A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63C60DE"/>
    <w:multiLevelType w:val="multilevel"/>
    <w:tmpl w:val="FB2A197A"/>
    <w:lvl w:ilvl="0">
      <w:start w:val="1"/>
      <w:numFmt w:val="bullet"/>
      <w:lvlText w:val=""/>
      <w:lvlJc w:val="left"/>
      <w:pPr>
        <w:tabs>
          <w:tab w:val="num" w:pos="720"/>
        </w:tabs>
        <w:ind w:left="720" w:hanging="360"/>
      </w:pPr>
      <w:rPr>
        <w:rFonts w:ascii="Symbol" w:hAnsi="Symbol" w:cs="Symbol" w:hint="default"/>
        <w:sz w:val="1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AF"/>
    <w:rsid w:val="00632C75"/>
    <w:rsid w:val="008C63AA"/>
    <w:rsid w:val="00B557DF"/>
    <w:rsid w:val="00D82BAF"/>
    <w:rsid w:val="00E52127"/>
    <w:rsid w:val="00F91E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147F4-76CB-42AD-BFD1-8B8B40A4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F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95DB9"/>
  </w:style>
  <w:style w:type="character" w:customStyle="1" w:styleId="StopkaZnak">
    <w:name w:val="Stopka Znak"/>
    <w:basedOn w:val="Domylnaczcionkaakapitu"/>
    <w:link w:val="Stopka"/>
    <w:uiPriority w:val="99"/>
    <w:qFormat/>
    <w:rsid w:val="00D95DB9"/>
  </w:style>
  <w:style w:type="character" w:customStyle="1" w:styleId="TekstdymkaZnak">
    <w:name w:val="Tekst dymka Znak"/>
    <w:basedOn w:val="Domylnaczcionkaakapitu"/>
    <w:link w:val="Tekstdymka"/>
    <w:uiPriority w:val="99"/>
    <w:semiHidden/>
    <w:qFormat/>
    <w:rsid w:val="00FA4BCF"/>
    <w:rPr>
      <w:rFonts w:ascii="Tahoma" w:hAnsi="Tahoma" w:cs="Tahoma"/>
      <w:sz w:val="16"/>
      <w:szCs w:val="16"/>
    </w:rPr>
  </w:style>
  <w:style w:type="paragraph" w:styleId="Nagwek">
    <w:name w:val="header"/>
    <w:basedOn w:val="Normalny"/>
    <w:next w:val="Tekstpodstawowy"/>
    <w:link w:val="NagwekZnak"/>
    <w:uiPriority w:val="99"/>
    <w:unhideWhenUsed/>
    <w:rsid w:val="00D95DB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46FE9"/>
    <w:pPr>
      <w:ind w:left="720"/>
      <w:contextualSpacing/>
    </w:pPr>
  </w:style>
  <w:style w:type="paragraph" w:customStyle="1" w:styleId="Default">
    <w:name w:val="Default"/>
    <w:qFormat/>
    <w:rsid w:val="00D95DB9"/>
    <w:rPr>
      <w:rFonts w:ascii="Times New Roman" w:eastAsia="Calibri" w:hAnsi="Times New Roman" w:cs="Times New Roman"/>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95DB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4BCF"/>
    <w:pPr>
      <w:spacing w:after="0" w:line="240" w:lineRule="auto"/>
    </w:pPr>
    <w:rPr>
      <w:rFonts w:ascii="Tahoma" w:hAnsi="Tahoma" w:cs="Tahoma"/>
      <w:sz w:val="16"/>
      <w:szCs w:val="16"/>
    </w:rPr>
  </w:style>
  <w:style w:type="table" w:styleId="Tabela-Siatka">
    <w:name w:val="Table Grid"/>
    <w:basedOn w:val="Standardowy"/>
    <w:uiPriority w:val="59"/>
    <w:rsid w:val="00FC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0CAC-BDF9-44F6-9C13-20B6A19E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1290</Words>
  <Characters>7743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Dominika Maćkowiak</cp:lastModifiedBy>
  <cp:revision>25</cp:revision>
  <cp:lastPrinted>2020-01-07T11:46:00Z</cp:lastPrinted>
  <dcterms:created xsi:type="dcterms:W3CDTF">2020-01-14T12:49:00Z</dcterms:created>
  <dcterms:modified xsi:type="dcterms:W3CDTF">2020-05-12T07:20:00Z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